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9DA2" w14:textId="77777777" w:rsidR="00F25069" w:rsidRPr="00893202" w:rsidRDefault="003443E0" w:rsidP="00F25069">
      <w:pPr>
        <w:pStyle w:val="Title"/>
        <w:rPr>
          <w:bCs/>
        </w:rPr>
      </w:pPr>
      <w:r>
        <w:rPr>
          <w:bCs/>
        </w:rPr>
        <w:t>01 – Master</w:t>
      </w:r>
    </w:p>
    <w:p w14:paraId="27C342DE"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129B9831" w14:textId="77777777" w:rsidTr="00893202">
        <w:trPr>
          <w:trHeight w:val="146"/>
        </w:trPr>
        <w:tc>
          <w:tcPr>
            <w:tcW w:w="2547" w:type="dxa"/>
            <w:shd w:val="clear" w:color="auto" w:fill="F2F2F2" w:themeFill="background1" w:themeFillShade="F2"/>
            <w:hideMark/>
          </w:tcPr>
          <w:p w14:paraId="08E91186"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7051F11B"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All Departments</w:t>
            </w:r>
          </w:p>
        </w:tc>
      </w:tr>
      <w:tr w:rsidR="00893202" w:rsidRPr="008D44F1" w14:paraId="5FF31E6D" w14:textId="77777777" w:rsidTr="00893202">
        <w:tc>
          <w:tcPr>
            <w:tcW w:w="2547" w:type="dxa"/>
            <w:hideMark/>
          </w:tcPr>
          <w:p w14:paraId="762A3B2E"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4D2D5A6E" w14:textId="77777777" w:rsidR="00893202" w:rsidRPr="008D44F1" w:rsidRDefault="00893202" w:rsidP="002D2BD8">
            <w:pPr>
              <w:pStyle w:val="TableMainContent"/>
              <w:rPr>
                <w:sz w:val="18"/>
                <w:szCs w:val="18"/>
              </w:rPr>
            </w:pPr>
            <w:r>
              <w:rPr>
                <w:sz w:val="18"/>
                <w:szCs w:val="18"/>
              </w:rPr>
              <w:t>Owner and Company. DPA for ISM</w:t>
            </w:r>
          </w:p>
        </w:tc>
      </w:tr>
      <w:tr w:rsidR="00893202" w:rsidRPr="008D44F1" w14:paraId="020227D8" w14:textId="77777777" w:rsidTr="00893202">
        <w:tc>
          <w:tcPr>
            <w:tcW w:w="2547" w:type="dxa"/>
            <w:hideMark/>
          </w:tcPr>
          <w:p w14:paraId="0CE32E17"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026BF0D1" w14:textId="77777777" w:rsidR="00893202" w:rsidRPr="008D44F1" w:rsidRDefault="00893202" w:rsidP="002D2BD8">
            <w:pPr>
              <w:pStyle w:val="TableMainContent"/>
              <w:rPr>
                <w:sz w:val="18"/>
                <w:szCs w:val="18"/>
              </w:rPr>
            </w:pPr>
            <w:r>
              <w:rPr>
                <w:sz w:val="18"/>
                <w:szCs w:val="18"/>
              </w:rPr>
              <w:t>To achieve the safe, secure and efficient operation of the yacht</w:t>
            </w:r>
          </w:p>
        </w:tc>
      </w:tr>
      <w:tr w:rsidR="00893202" w:rsidRPr="008D44F1" w14:paraId="20535434" w14:textId="77777777" w:rsidTr="00893202">
        <w:tc>
          <w:tcPr>
            <w:tcW w:w="2547" w:type="dxa"/>
          </w:tcPr>
          <w:p w14:paraId="27BF3980"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6E0DBE88" w14:textId="77777777" w:rsidR="00893202" w:rsidRPr="008D44F1" w:rsidRDefault="00893202" w:rsidP="002D2BD8">
            <w:pPr>
              <w:pStyle w:val="TableMainContent"/>
              <w:rPr>
                <w:sz w:val="18"/>
                <w:szCs w:val="18"/>
              </w:rPr>
            </w:pPr>
            <w:r>
              <w:rPr>
                <w:sz w:val="18"/>
                <w:szCs w:val="18"/>
              </w:rPr>
              <w:t>STCW II/2 &amp; Flag Endorsement</w:t>
            </w:r>
          </w:p>
        </w:tc>
      </w:tr>
      <w:tr w:rsidR="00893202" w:rsidRPr="008D44F1" w14:paraId="001EFD22" w14:textId="77777777" w:rsidTr="00893202">
        <w:tc>
          <w:tcPr>
            <w:tcW w:w="2547" w:type="dxa"/>
          </w:tcPr>
          <w:p w14:paraId="37D21ED7"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12F5F0AE" w14:textId="77777777" w:rsidR="00893202" w:rsidRPr="008D44F1" w:rsidRDefault="00893202" w:rsidP="002D2BD8">
            <w:pPr>
              <w:pStyle w:val="TableMainContent"/>
              <w:rPr>
                <w:sz w:val="18"/>
                <w:szCs w:val="18"/>
              </w:rPr>
            </w:pPr>
            <w:r>
              <w:rPr>
                <w:sz w:val="18"/>
                <w:szCs w:val="18"/>
              </w:rPr>
              <w:t>Chief Officer</w:t>
            </w:r>
          </w:p>
        </w:tc>
      </w:tr>
    </w:tbl>
    <w:p w14:paraId="3FE1C47D" w14:textId="77777777" w:rsidR="00893202" w:rsidRDefault="00893202" w:rsidP="00C13197">
      <w:pPr>
        <w:pStyle w:val="my-5"/>
        <w:spacing w:before="0" w:beforeAutospacing="0" w:after="200" w:afterAutospacing="0"/>
        <w:rPr>
          <w:rFonts w:ascii="Calibri" w:hAnsi="Calibri" w:cs="Calibri"/>
          <w:color w:val="000000"/>
          <w:sz w:val="22"/>
          <w:szCs w:val="22"/>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5D5D5"/>
        <w:tblCellMar>
          <w:top w:w="113" w:type="dxa"/>
          <w:bottom w:w="113" w:type="dxa"/>
        </w:tblCellMar>
        <w:tblLook w:val="04A0" w:firstRow="1" w:lastRow="0" w:firstColumn="1" w:lastColumn="0" w:noHBand="0" w:noVBand="1"/>
      </w:tblPr>
      <w:tblGrid>
        <w:gridCol w:w="9060"/>
      </w:tblGrid>
      <w:tr w:rsidR="00893202" w14:paraId="36348CDD" w14:textId="77777777" w:rsidTr="001C4D6B">
        <w:tc>
          <w:tcPr>
            <w:tcW w:w="9060" w:type="dxa"/>
            <w:shd w:val="clear" w:color="auto" w:fill="F5D5D5"/>
          </w:tcPr>
          <w:p w14:paraId="533BBFA9" w14:textId="77777777" w:rsidR="00893202" w:rsidRDefault="00F34C78" w:rsidP="00C13197">
            <w:pPr>
              <w:rPr>
                <w:rFonts w:ascii="Calibri" w:hAnsi="Calibri" w:cs="Calibri"/>
                <w:color w:val="000000"/>
                <w:sz w:val="18"/>
                <w:szCs w:val="18"/>
              </w:rPr>
            </w:pPr>
            <w:r>
              <w:rPr>
                <w:noProof/>
              </w:rPr>
              <w:pict w14:anchorId="53B329D9">
                <v:shape id="Picture 1" o:spid="_x0000_s2050" type="#_x0000_t75" alt="" style="position:absolute;margin-left:-.1pt;margin-top:0;width:22.2pt;height:19.75pt;z-index:251658240;visibility:visible;mso-wrap-style:square;mso-wrap-edited:f;mso-width-percent:0;mso-height-percent:0;mso-width-percent:0;mso-height-percent:0">
                  <v:imagedata r:id="rId8" o:title=""/>
                  <w10:wrap type="square"/>
                </v:shape>
              </w:pict>
            </w:r>
            <w:r w:rsidR="003264EE">
              <w:rPr>
                <w:rFonts w:ascii="Calibri" w:hAnsi="Calibri" w:cs="Calibri"/>
                <w:color w:val="000000"/>
                <w:sz w:val="18"/>
                <w:szCs w:val="18"/>
              </w:rPr>
              <w:t>Nothing in this job description or in any instructions given to the Master removes from the Master their authority to take any steps and issue any orders, whether or not they are in accordance with any instructions given, which the Master considers are necessary for the preservation of life, the safety of the yacht or the prevention of pollution. The Master is in command of the yacht and is ultimately responsible for the safe, secure and efficient operation and safe navigation of the yacht. The Master must ensure that the yacht does not cause pollution. The Master is also responsible for ensuring that the yacht is operated to the highest standards, that the guests’ needs are catered for and that reasonable instructions given by the Owner and Company are complied with.</w:t>
            </w:r>
          </w:p>
        </w:tc>
      </w:tr>
    </w:tbl>
    <w:p w14:paraId="190CC54B"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19F97AE8"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Master has the following duties and responsibilities:</w:t>
      </w:r>
    </w:p>
    <w:p w14:paraId="12ECD3A7"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Assisting the DPA to ensure that the yacht is manned and operated in accordance with International, Flag and Port State law and also in accordance with the written ISM policies of SMM, to this end the Master will have a thorough working knowledge of all relevant law, regulations and guidance together with the ISM system and the Ship Security Plan.</w:t>
      </w:r>
    </w:p>
    <w:p w14:paraId="22805814"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Heeding all advice and guidance applicable to the yacht given by the IMO, the Flag and Port States and any other authoritative body including advice given by the Company.</w:t>
      </w:r>
    </w:p>
    <w:p w14:paraId="30BFC9C3"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the safe navigation of the yacht and that all necessary precautions are taken to ensure the safety and security of the yacht and all on board.</w:t>
      </w:r>
    </w:p>
    <w:p w14:paraId="48AC1727"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Verifying that any requirements imposed on the Master, crew or yacht by any appropriate Authority, the Owner or the Company are complied with.</w:t>
      </w:r>
    </w:p>
    <w:p w14:paraId="0D0120CB"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communications are upheld with the Owners, the Company, the Guests/Charterers and any other party required, including that of the number of all persons onboard.</w:t>
      </w:r>
    </w:p>
    <w:p w14:paraId="7F53B541"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development of necessary Standard Operating Procedures, Emergency Procedures, Risk Assessments and Safe Working Practices.</w:t>
      </w:r>
    </w:p>
    <w:p w14:paraId="495D7094"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Reviewing the Safety Management System and reporting any defects that require external assistance from the Company.</w:t>
      </w:r>
    </w:p>
    <w:p w14:paraId="20B4C23F"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Issuing all appropriate orders and instructions in a clear and simple manner.</w:t>
      </w:r>
    </w:p>
    <w:p w14:paraId="518CB49E"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Organising and implementing Safety and Security drills and training in accordance with Flag State requirements and in accordance with the Safety Management System.</w:t>
      </w:r>
    </w:p>
    <w:p w14:paraId="1DF9E10D"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Understanding personal responsibilities in emergency situation according to muster list, emergency procedures and onboard training.</w:t>
      </w:r>
    </w:p>
    <w:p w14:paraId="163B666C"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Reporting of any incident, accident or damage affecting the yacht, any personnel onboard, the yachts’ operation to the Company and other parties as found necessary. To ensure that all incidents reported to him are closed out in a timely manner.</w:t>
      </w:r>
    </w:p>
    <w:p w14:paraId="7FD507A2"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Promoting familiarisation and training related with the Safety Management System requirements.</w:t>
      </w:r>
    </w:p>
    <w:p w14:paraId="2A92E038"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Before the intended voyage to ensure that there is sufficient positive stability during all voyage stages by the consideration of stability, draft and Loadline, including departure and arrival conditions, in accordance with the stability booklet.</w:t>
      </w:r>
    </w:p>
    <w:p w14:paraId="5FB07C50"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Safety Meetings with required personnel are routinely scheduled and documented.</w:t>
      </w:r>
    </w:p>
    <w:p w14:paraId="109DFD34"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lastRenderedPageBreak/>
        <w:t>To be responsible for the implementation of the Waste Management Plan.</w:t>
      </w:r>
    </w:p>
    <w:p w14:paraId="18077C33"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Overseeing the welfare, well-being and discipline of the yacht’s crew, whilst motivating the crew to observe all applicable laws and the ISM policies of the Company.</w:t>
      </w:r>
    </w:p>
    <w:p w14:paraId="72346EDD"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the crew properly exercise and drill for emergency response.</w:t>
      </w:r>
    </w:p>
    <w:p w14:paraId="608E1948"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that health and hygiene conditions are maintained to the highest possible standards.</w:t>
      </w:r>
    </w:p>
    <w:p w14:paraId="466CC8E1"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Ensuring the safety and security of all guests and that their experience on the yacht meets their expectations.</w:t>
      </w:r>
    </w:p>
    <w:p w14:paraId="566344E4"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Planning and organising the itinerary of the yacht, including the preparation of all charts and publications required and the verification of sufficient bunkers, potable water and stores prior to departure and for appointing crew for watches on the Bridge at the gangway and for safety and security patrols.</w:t>
      </w:r>
    </w:p>
    <w:p w14:paraId="3956C0E9"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maintain the yacht’s certification, and other records as required, are carried and any deficiencies are reported to the Company. Also, to plan and organise the necessary surveys in good time to ensure the yacht always remains in Class and MCA Code and meets all statutory requirements.</w:t>
      </w:r>
    </w:p>
    <w:p w14:paraId="50337B91"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the maintenance of crew certification and to assess training needs of crew whilst in command and implement the appropriate training to ensure that they are aware of safe working practices. Also, to ensure that the yacht is properly manned for the required type of operation.</w:t>
      </w:r>
    </w:p>
    <w:p w14:paraId="62184A1B"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medical care is administered correctly.</w:t>
      </w:r>
    </w:p>
    <w:p w14:paraId="58DFE53E"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that the contents of the on-board medical chest comply with flag state regulations and is checked at least monthly.</w:t>
      </w:r>
    </w:p>
    <w:p w14:paraId="206A69E5"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Arranging shore medical consultation for guests and crew as appropriate.</w:t>
      </w:r>
    </w:p>
    <w:p w14:paraId="2D6D3F06"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Arranging replacement crew and travel arrangements.</w:t>
      </w:r>
    </w:p>
    <w:p w14:paraId="531791EF"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Preparing the yacht’s documents and the arrival/departure papers for Port Authorities.</w:t>
      </w:r>
    </w:p>
    <w:p w14:paraId="4A4665F9"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Managing financial matters concerning the yacht, together with crew accounts.</w:t>
      </w:r>
    </w:p>
    <w:p w14:paraId="09C2EDBB"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Monitoring the food and beverage inventories.</w:t>
      </w:r>
    </w:p>
    <w:p w14:paraId="1626E478"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Responsibility for all administration concerning port requirements (i.e. crew lists, yacht’s and crew declarations, vaccination lists etc.), general office work including organisation filing and suitable storage of yacht’s documents, completing all bond and customs documentation etc.</w:t>
      </w:r>
    </w:p>
    <w:p w14:paraId="6D1798A5" w14:textId="77777777" w:rsidR="0040640F" w:rsidRDefault="00150A88">
      <w:pPr>
        <w:pStyle w:val="ListParagraph"/>
        <w:numPr>
          <w:ilvl w:val="0"/>
          <w:numId w:val="1"/>
        </w:numPr>
        <w:rPr>
          <w:rFonts w:ascii="Calibri" w:hAnsi="Calibri" w:cs="Calibri"/>
          <w:color w:val="000000"/>
          <w:sz w:val="18"/>
          <w:szCs w:val="18"/>
        </w:rPr>
      </w:pPr>
      <w:r>
        <w:rPr>
          <w:rFonts w:ascii="Calibri" w:hAnsi="Calibri" w:cs="Calibri"/>
          <w:color w:val="000000"/>
          <w:sz w:val="18"/>
          <w:szCs w:val="18"/>
        </w:rPr>
        <w:t>Carrying out a full and proper handover to an authorised and suitably qualified individual, either on a temporary, rotation or permanent basis.</w:t>
      </w:r>
    </w:p>
    <w:p w14:paraId="3D47F5F7" w14:textId="77777777" w:rsidR="000E7A97" w:rsidRPr="008D44F1" w:rsidRDefault="000E7A97" w:rsidP="00C13197">
      <w:pPr>
        <w:rPr>
          <w:rFonts w:ascii="Calibri" w:hAnsi="Calibri" w:cs="Calibri"/>
          <w:vanish/>
          <w:color w:val="000000"/>
          <w:sz w:val="18"/>
          <w:szCs w:val="18"/>
        </w:rPr>
      </w:pPr>
    </w:p>
    <w:p w14:paraId="0CB3E085" w14:textId="77777777" w:rsidR="000E7A97" w:rsidRDefault="000E7A97" w:rsidP="00C13197">
      <w:pPr>
        <w:rPr>
          <w:rFonts w:ascii="Calibri" w:hAnsi="Calibri" w:cs="Calibri"/>
          <w:color w:val="000000"/>
          <w:sz w:val="18"/>
          <w:szCs w:val="18"/>
        </w:rPr>
      </w:pPr>
    </w:p>
    <w:p w14:paraId="6BB91559"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5552815B" w14:textId="77777777" w:rsidTr="008D44F1">
        <w:trPr>
          <w:trHeight w:val="146"/>
        </w:trPr>
        <w:tc>
          <w:tcPr>
            <w:tcW w:w="4670" w:type="dxa"/>
            <w:gridSpan w:val="2"/>
            <w:shd w:val="clear" w:color="auto" w:fill="F2F2F2" w:themeFill="background1" w:themeFillShade="F2"/>
            <w:hideMark/>
          </w:tcPr>
          <w:p w14:paraId="3674D8AA"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Master</w:t>
            </w:r>
          </w:p>
        </w:tc>
        <w:tc>
          <w:tcPr>
            <w:tcW w:w="4508" w:type="dxa"/>
            <w:shd w:val="clear" w:color="auto" w:fill="F2F2F2" w:themeFill="background1" w:themeFillShade="F2"/>
            <w:hideMark/>
          </w:tcPr>
          <w:p w14:paraId="3BA8C9CD"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7F8C87E4" w14:textId="77777777" w:rsidTr="00522107">
        <w:tc>
          <w:tcPr>
            <w:tcW w:w="1977" w:type="dxa"/>
            <w:hideMark/>
          </w:tcPr>
          <w:p w14:paraId="59396FA0"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0B7C38BA"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3798E4C1"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D6AD4DE" w14:textId="77777777" w:rsidTr="008D44F1">
        <w:tc>
          <w:tcPr>
            <w:tcW w:w="1977" w:type="dxa"/>
            <w:hideMark/>
          </w:tcPr>
          <w:p w14:paraId="4D46367B"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19A4E1E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657A3C5E" w14:textId="77777777" w:rsidR="001E68BF" w:rsidRPr="008D44F1" w:rsidRDefault="001E68BF" w:rsidP="00B86B48">
            <w:pPr>
              <w:pStyle w:val="TableMainContent"/>
              <w:rPr>
                <w:sz w:val="18"/>
                <w:szCs w:val="18"/>
              </w:rPr>
            </w:pPr>
          </w:p>
        </w:tc>
      </w:tr>
    </w:tbl>
    <w:p w14:paraId="2674FFA6" w14:textId="77777777" w:rsidR="000E7A97" w:rsidRPr="008D44F1" w:rsidRDefault="000E7A97" w:rsidP="00C13197">
      <w:pPr>
        <w:rPr>
          <w:rFonts w:ascii="Calibri" w:hAnsi="Calibri" w:cs="Calibri"/>
          <w:vanish/>
          <w:color w:val="000000"/>
          <w:sz w:val="18"/>
          <w:szCs w:val="18"/>
        </w:rPr>
      </w:pPr>
    </w:p>
    <w:p w14:paraId="71804337" w14:textId="77777777" w:rsidR="00847D7F" w:rsidRPr="008D44F1" w:rsidRDefault="00847D7F" w:rsidP="00C13197">
      <w:pPr>
        <w:rPr>
          <w:sz w:val="18"/>
          <w:szCs w:val="18"/>
        </w:rPr>
      </w:pPr>
    </w:p>
    <w:sectPr w:rsidR="00847D7F" w:rsidRPr="008D44F1" w:rsidSect="005D3B27">
      <w:headerReference w:type="default" r:id="rId9"/>
      <w:footerReference w:type="default" r:id="rId10"/>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9B5F" w14:textId="77777777" w:rsidR="00F34C78" w:rsidRDefault="00F34C78" w:rsidP="00EE2526">
      <w:pPr>
        <w:spacing w:after="0" w:line="240" w:lineRule="auto"/>
      </w:pPr>
      <w:r>
        <w:separator/>
      </w:r>
    </w:p>
  </w:endnote>
  <w:endnote w:type="continuationSeparator" w:id="0">
    <w:p w14:paraId="52B65EC7" w14:textId="77777777" w:rsidR="00F34C78" w:rsidRDefault="00F34C78"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19DC1A54" w14:textId="77777777" w:rsidTr="0092190E">
      <w:tc>
        <w:tcPr>
          <w:tcW w:w="3005" w:type="dxa"/>
        </w:tcPr>
        <w:p w14:paraId="2A63CE9B"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51F9D9F6" w14:textId="063EDD36" w:rsidR="00EE2526" w:rsidRPr="0092190E" w:rsidRDefault="0002227C" w:rsidP="0002227C">
          <w:pPr>
            <w:pStyle w:val="Footer"/>
            <w:jc w:val="center"/>
          </w:pPr>
          <w:r w:rsidRPr="00E544A0">
            <w:fldChar w:fldCharType="begin"/>
          </w:r>
          <w:r w:rsidRPr="00E544A0">
            <w:instrText xml:space="preserve"> PAGE </w:instrText>
          </w:r>
          <w:r>
            <w:fldChar w:fldCharType="separate"/>
          </w:r>
          <w:r>
            <w:rPr>
              <w:noProof/>
            </w:rPr>
            <w:t>2</w:t>
          </w:r>
          <w:r w:rsidRPr="00E544A0">
            <w:fldChar w:fldCharType="end"/>
          </w:r>
          <w:r w:rsidRPr="00E544A0">
            <w:t xml:space="preserve"> of </w:t>
          </w:r>
          <w:fldSimple w:instr=" NUMPAGES ">
            <w:r>
              <w:rPr>
                <w:noProof/>
              </w:rPr>
              <w:t>2</w:t>
            </w:r>
          </w:fldSimple>
        </w:p>
      </w:tc>
      <w:tc>
        <w:tcPr>
          <w:tcW w:w="3006" w:type="dxa"/>
          <w:vAlign w:val="bottom"/>
        </w:tcPr>
        <w:p w14:paraId="792BA168"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2BEAD29F"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6DB8" w14:textId="77777777" w:rsidR="00F34C78" w:rsidRDefault="00F34C78" w:rsidP="00EE2526">
      <w:pPr>
        <w:spacing w:after="0" w:line="240" w:lineRule="auto"/>
      </w:pPr>
      <w:r>
        <w:separator/>
      </w:r>
    </w:p>
  </w:footnote>
  <w:footnote w:type="continuationSeparator" w:id="0">
    <w:p w14:paraId="0BDFD502" w14:textId="77777777" w:rsidR="00F34C78" w:rsidRDefault="00F34C78"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1CE47389" w14:textId="77777777" w:rsidTr="005D3B27">
      <w:tc>
        <w:tcPr>
          <w:tcW w:w="3005" w:type="dxa"/>
          <w:vAlign w:val="bottom"/>
        </w:tcPr>
        <w:p w14:paraId="666350FF"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0B27372F" w14:textId="77777777" w:rsidR="00EE2526" w:rsidRPr="00EE2526" w:rsidRDefault="00EE2526" w:rsidP="0092190E">
          <w:pPr>
            <w:pStyle w:val="Header"/>
            <w:jc w:val="center"/>
            <w:rPr>
              <w:sz w:val="16"/>
              <w:szCs w:val="16"/>
            </w:rPr>
          </w:pPr>
        </w:p>
      </w:tc>
      <w:tc>
        <w:tcPr>
          <w:tcW w:w="3543" w:type="dxa"/>
          <w:vAlign w:val="bottom"/>
        </w:tcPr>
        <w:p w14:paraId="7A7CB2CE"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03311B6D"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2227C"/>
    <w:rsid w:val="000E7A97"/>
    <w:rsid w:val="00150A88"/>
    <w:rsid w:val="001C4D6B"/>
    <w:rsid w:val="001E68BF"/>
    <w:rsid w:val="002204CF"/>
    <w:rsid w:val="003264EE"/>
    <w:rsid w:val="003443E0"/>
    <w:rsid w:val="003A3A81"/>
    <w:rsid w:val="0040640F"/>
    <w:rsid w:val="004D503D"/>
    <w:rsid w:val="00522107"/>
    <w:rsid w:val="005D3B27"/>
    <w:rsid w:val="006B137D"/>
    <w:rsid w:val="00847D7F"/>
    <w:rsid w:val="00893202"/>
    <w:rsid w:val="008D44F1"/>
    <w:rsid w:val="0092190E"/>
    <w:rsid w:val="00924C25"/>
    <w:rsid w:val="009C2FB1"/>
    <w:rsid w:val="00AC0672"/>
    <w:rsid w:val="00B35CBF"/>
    <w:rsid w:val="00B6743D"/>
    <w:rsid w:val="00C13197"/>
    <w:rsid w:val="00CE1BC9"/>
    <w:rsid w:val="00D35CEB"/>
    <w:rsid w:val="00DB1CE6"/>
    <w:rsid w:val="00EE2526"/>
    <w:rsid w:val="00F25069"/>
    <w:rsid w:val="00F34C78"/>
    <w:rsid w:val="00F455F4"/>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190C81"/>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884</Words>
  <Characters>4952</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2026-04-11T08:37:00Z</dcterms:modified>
</cp:coreProperties>
</file>